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F6FFA" w14:textId="77777777" w:rsidR="00404309" w:rsidRPr="0088131F" w:rsidRDefault="00404309" w:rsidP="00152D6C">
      <w:pPr>
        <w:tabs>
          <w:tab w:val="left" w:pos="709"/>
        </w:tabs>
        <w:rPr>
          <w:rFonts w:ascii="Century Gothic" w:hAnsi="Century Gothic"/>
          <w:b/>
          <w:bCs/>
          <w:color w:val="052C6B"/>
          <w:sz w:val="44"/>
          <w:szCs w:val="48"/>
        </w:rPr>
      </w:pPr>
    </w:p>
    <w:p w14:paraId="67B7D88F" w14:textId="77777777" w:rsidR="00404309" w:rsidRPr="002D6852" w:rsidRDefault="00404309" w:rsidP="00404309">
      <w:pPr>
        <w:tabs>
          <w:tab w:val="left" w:pos="709"/>
        </w:tabs>
        <w:jc w:val="center"/>
        <w:rPr>
          <w:rFonts w:ascii="Century Gothic" w:hAnsi="Century Gothic"/>
          <w:b/>
          <w:bCs/>
          <w:color w:val="052C6B"/>
          <w:sz w:val="36"/>
          <w:szCs w:val="48"/>
        </w:rPr>
      </w:pPr>
      <w:r w:rsidRPr="002D6852">
        <w:rPr>
          <w:rFonts w:ascii="Century Gothic" w:hAnsi="Century Gothic"/>
          <w:b/>
          <w:bCs/>
          <w:color w:val="052C6B"/>
          <w:sz w:val="36"/>
          <w:szCs w:val="48"/>
        </w:rPr>
        <w:t xml:space="preserve">Tilbud på miljøfyrtårnsertifisering av frittstående virksomhet </w:t>
      </w:r>
    </w:p>
    <w:p w14:paraId="16BC01F7" w14:textId="68A7AFE3" w:rsidR="00752BF6" w:rsidRDefault="00404309" w:rsidP="00404309">
      <w:pPr>
        <w:tabs>
          <w:tab w:val="left" w:pos="709"/>
        </w:tabs>
        <w:jc w:val="center"/>
        <w:rPr>
          <w:rFonts w:ascii="Century Gothic" w:hAnsi="Century Gothic"/>
          <w:iCs/>
          <w:color w:val="052C6B"/>
          <w:szCs w:val="28"/>
        </w:rPr>
      </w:pPr>
      <w:r w:rsidRPr="0088131F">
        <w:rPr>
          <w:rFonts w:ascii="Century Gothic" w:hAnsi="Century Gothic"/>
          <w:iCs/>
          <w:color w:val="052C6B"/>
          <w:szCs w:val="28"/>
        </w:rPr>
        <w:t>(benytter ikke hovedkontormodellen)</w:t>
      </w:r>
    </w:p>
    <w:p w14:paraId="2FB96BB3" w14:textId="77777777" w:rsidR="0088131F" w:rsidRPr="0088131F" w:rsidRDefault="0088131F" w:rsidP="00404309">
      <w:pPr>
        <w:tabs>
          <w:tab w:val="left" w:pos="709"/>
        </w:tabs>
        <w:jc w:val="center"/>
        <w:rPr>
          <w:rFonts w:ascii="Century Gothic" w:hAnsi="Century Gothic"/>
          <w:iCs/>
          <w:color w:val="052C6B"/>
          <w:sz w:val="32"/>
          <w:szCs w:val="36"/>
        </w:rPr>
      </w:pPr>
    </w:p>
    <w:p w14:paraId="757A6619" w14:textId="77777777" w:rsidR="00861FC2" w:rsidRDefault="00861FC2" w:rsidP="00861FC2">
      <w:r>
        <w:t>Tilbud på miljøfyrtårnsertifisering av (</w:t>
      </w:r>
      <w:r w:rsidRPr="00CC7BA5">
        <w:rPr>
          <w:i/>
        </w:rPr>
        <w:t>navn på virksomhet</w:t>
      </w:r>
      <w:r>
        <w:t>).</w:t>
      </w:r>
    </w:p>
    <w:p w14:paraId="31EAB32A" w14:textId="77777777" w:rsidR="00752BF6" w:rsidRPr="00752BF6" w:rsidRDefault="00752BF6" w:rsidP="00834847">
      <w:pPr>
        <w:rPr>
          <w:rFonts w:cstheme="majorHAnsi"/>
          <w:color w:val="000000" w:themeColor="text1"/>
          <w:sz w:val="22"/>
          <w:szCs w:val="22"/>
        </w:rPr>
      </w:pPr>
    </w:p>
    <w:p w14:paraId="0BEAEFB8" w14:textId="342545EA" w:rsidR="00752BF6" w:rsidRPr="002D6852" w:rsidRDefault="00152D6C" w:rsidP="00834847">
      <w:pPr>
        <w:rPr>
          <w:sz w:val="22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Tilbudet omfatter:</w:t>
      </w:r>
    </w:p>
    <w:p w14:paraId="59B9F871" w14:textId="77777777" w:rsidR="00152D6C" w:rsidRPr="0088131F" w:rsidRDefault="00152D6C" w:rsidP="00152D6C">
      <w:pPr>
        <w:pStyle w:val="Listeavsnitt"/>
        <w:numPr>
          <w:ilvl w:val="0"/>
          <w:numId w:val="10"/>
        </w:numPr>
        <w:ind w:left="360"/>
        <w:rPr>
          <w:sz w:val="22"/>
        </w:rPr>
      </w:pPr>
      <w:r w:rsidRPr="0088131F">
        <w:rPr>
          <w:sz w:val="22"/>
        </w:rPr>
        <w:t>Forarbeid</w:t>
      </w:r>
    </w:p>
    <w:p w14:paraId="4E7CF8B7" w14:textId="77777777" w:rsidR="00152D6C" w:rsidRPr="0088131F" w:rsidRDefault="00152D6C" w:rsidP="00152D6C">
      <w:pPr>
        <w:pStyle w:val="Listeavsnitt"/>
        <w:numPr>
          <w:ilvl w:val="0"/>
          <w:numId w:val="10"/>
        </w:numPr>
        <w:ind w:left="360"/>
        <w:rPr>
          <w:sz w:val="22"/>
        </w:rPr>
      </w:pPr>
      <w:r w:rsidRPr="0088131F">
        <w:rPr>
          <w:sz w:val="22"/>
        </w:rPr>
        <w:t>Sertifiseringsmøte / befaring</w:t>
      </w:r>
    </w:p>
    <w:p w14:paraId="573355E3" w14:textId="458B34FF" w:rsidR="00752BF6" w:rsidRDefault="00152D6C" w:rsidP="00834847">
      <w:pPr>
        <w:pStyle w:val="Listeavsnitt"/>
        <w:numPr>
          <w:ilvl w:val="0"/>
          <w:numId w:val="10"/>
        </w:numPr>
        <w:ind w:left="360"/>
        <w:rPr>
          <w:sz w:val="22"/>
        </w:rPr>
      </w:pPr>
      <w:r w:rsidRPr="0088131F">
        <w:rPr>
          <w:sz w:val="22"/>
        </w:rPr>
        <w:t>Etterarbeid, inkl. evt. avvikslukking</w:t>
      </w:r>
    </w:p>
    <w:p w14:paraId="087CF946" w14:textId="77777777" w:rsidR="002D6852" w:rsidRPr="002D6852" w:rsidRDefault="002D6852" w:rsidP="002D6852">
      <w:pPr>
        <w:pStyle w:val="Listeavsnitt"/>
        <w:ind w:left="360"/>
        <w:rPr>
          <w:sz w:val="22"/>
        </w:rPr>
      </w:pPr>
    </w:p>
    <w:p w14:paraId="4EFB211D" w14:textId="5A75E564" w:rsidR="00752BF6" w:rsidRPr="002D6852" w:rsidRDefault="00152D6C" w:rsidP="00834847">
      <w:pPr>
        <w:rPr>
          <w:sz w:val="22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Estimert timebruk:</w:t>
      </w:r>
    </w:p>
    <w:p w14:paraId="1A70E5AB" w14:textId="77777777" w:rsidR="00152D6C" w:rsidRPr="0088131F" w:rsidRDefault="00152D6C" w:rsidP="00152D6C">
      <w:pPr>
        <w:pStyle w:val="Listeavsnitt"/>
        <w:numPr>
          <w:ilvl w:val="0"/>
          <w:numId w:val="11"/>
        </w:numPr>
        <w:rPr>
          <w:sz w:val="22"/>
        </w:rPr>
      </w:pPr>
      <w:r w:rsidRPr="0088131F">
        <w:rPr>
          <w:sz w:val="22"/>
        </w:rPr>
        <w:t>Grunnpris (felles kriterier, byggeier/leietaker pluss ett bransjespesifikt kriteriesett)</w:t>
      </w:r>
    </w:p>
    <w:p w14:paraId="78278E1C" w14:textId="77777777" w:rsidR="00152D6C" w:rsidRPr="0088131F" w:rsidRDefault="00152D6C" w:rsidP="00152D6C">
      <w:pPr>
        <w:pStyle w:val="Listeavsnitt"/>
        <w:numPr>
          <w:ilvl w:val="0"/>
          <w:numId w:val="11"/>
        </w:numPr>
        <w:rPr>
          <w:sz w:val="22"/>
        </w:rPr>
      </w:pPr>
      <w:r w:rsidRPr="0088131F">
        <w:rPr>
          <w:sz w:val="22"/>
        </w:rPr>
        <w:t xml:space="preserve">Tillegg for: </w:t>
      </w:r>
    </w:p>
    <w:p w14:paraId="3631A4F2" w14:textId="240B4AD0" w:rsidR="00152D6C" w:rsidRPr="0088131F" w:rsidRDefault="00152D6C" w:rsidP="00152D6C">
      <w:pPr>
        <w:pStyle w:val="Listeavsnitt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88131F">
        <w:rPr>
          <w:color w:val="000000" w:themeColor="text1"/>
          <w:sz w:val="22"/>
          <w:szCs w:val="22"/>
        </w:rPr>
        <w:t>flere bransjespesifikke kriteriesett: 1 time per ekstra kriteriesett</w:t>
      </w:r>
    </w:p>
    <w:p w14:paraId="2991B86C" w14:textId="6041CE39" w:rsidR="00152D6C" w:rsidRPr="0088131F" w:rsidRDefault="00152D6C" w:rsidP="00152D6C">
      <w:pPr>
        <w:pStyle w:val="Listeavsnitt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88131F">
        <w:rPr>
          <w:color w:val="000000" w:themeColor="text1"/>
          <w:sz w:val="22"/>
          <w:szCs w:val="22"/>
        </w:rPr>
        <w:t>befaring på ekstern destinasjon: inntil 2 timer pluss reise</w:t>
      </w:r>
    </w:p>
    <w:p w14:paraId="2233B038" w14:textId="7586395B" w:rsidR="00152D6C" w:rsidRPr="0088131F" w:rsidRDefault="00152D6C" w:rsidP="00834847">
      <w:pPr>
        <w:pStyle w:val="Listeavsnitt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88131F">
        <w:rPr>
          <w:color w:val="000000" w:themeColor="text1"/>
          <w:sz w:val="22"/>
          <w:szCs w:val="22"/>
        </w:rPr>
        <w:t>mange avvik: 1 time ekstra dersom antall avvik overskrider 10 stk.</w:t>
      </w:r>
    </w:p>
    <w:p w14:paraId="39535E42" w14:textId="77777777" w:rsidR="0088131F" w:rsidRPr="0088131F" w:rsidRDefault="0088131F" w:rsidP="0088131F">
      <w:pPr>
        <w:ind w:left="720"/>
        <w:rPr>
          <w:color w:val="000000" w:themeColor="text1"/>
          <w:sz w:val="22"/>
          <w:szCs w:val="22"/>
        </w:rPr>
      </w:pPr>
    </w:p>
    <w:p w14:paraId="7CAF62C7" w14:textId="2E4EDAFC" w:rsidR="00680B84" w:rsidRPr="002D6852" w:rsidRDefault="00152D6C" w:rsidP="00834847">
      <w:pPr>
        <w:rPr>
          <w:rFonts w:eastAsiaTheme="majorEastAsia" w:cstheme="majorBidi"/>
          <w:b/>
          <w:color w:val="000000" w:themeColor="text1"/>
          <w:szCs w:val="28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 xml:space="preserve">Timepris: Kr. </w:t>
      </w:r>
      <w:proofErr w:type="spellStart"/>
      <w:proofErr w:type="gramStart"/>
      <w:r w:rsidRPr="002D6852">
        <w:rPr>
          <w:rFonts w:eastAsiaTheme="majorEastAsia" w:cstheme="majorBidi"/>
          <w:b/>
          <w:color w:val="000000" w:themeColor="text1"/>
          <w:szCs w:val="28"/>
        </w:rPr>
        <w:t>xxxx</w:t>
      </w:r>
      <w:proofErr w:type="spellEnd"/>
      <w:r w:rsidRPr="002D6852">
        <w:rPr>
          <w:rFonts w:eastAsiaTheme="majorEastAsia" w:cstheme="majorBidi"/>
          <w:b/>
          <w:color w:val="000000" w:themeColor="text1"/>
          <w:szCs w:val="28"/>
        </w:rPr>
        <w:t>,-</w:t>
      </w:r>
      <w:proofErr w:type="gramEnd"/>
      <w:r w:rsidRPr="002D6852">
        <w:rPr>
          <w:rFonts w:eastAsiaTheme="majorEastAsia" w:cstheme="majorBidi"/>
          <w:b/>
          <w:color w:val="000000" w:themeColor="text1"/>
          <w:szCs w:val="28"/>
        </w:rPr>
        <w:t xml:space="preserve"> </w:t>
      </w:r>
      <w:proofErr w:type="spellStart"/>
      <w:r w:rsidRPr="002D6852">
        <w:rPr>
          <w:rFonts w:eastAsiaTheme="majorEastAsia" w:cstheme="majorBidi"/>
          <w:b/>
          <w:color w:val="000000" w:themeColor="text1"/>
          <w:szCs w:val="28"/>
        </w:rPr>
        <w:t>eks.mva</w:t>
      </w:r>
      <w:proofErr w:type="spellEnd"/>
    </w:p>
    <w:p w14:paraId="2E29F171" w14:textId="04138BF7" w:rsidR="00152D6C" w:rsidRPr="0088131F" w:rsidRDefault="00152D6C" w:rsidP="00834847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 xml:space="preserve">Reisegodtgjørelse ved reisetid mer enn en time (fra </w:t>
      </w:r>
      <w:proofErr w:type="spellStart"/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sertifisørs</w:t>
      </w:r>
      <w:proofErr w:type="spellEnd"/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 xml:space="preserve"> kontor til sted for sertifisering) følger statens satser.</w:t>
      </w:r>
    </w:p>
    <w:p w14:paraId="3C54C22C" w14:textId="77777777" w:rsidR="00861FC2" w:rsidRDefault="00861FC2" w:rsidP="00861FC2">
      <w:pPr>
        <w:rPr>
          <w:b/>
        </w:rPr>
      </w:pPr>
    </w:p>
    <w:p w14:paraId="54319F15" w14:textId="3A35C85F" w:rsidR="00861FC2" w:rsidRPr="00861FC2" w:rsidRDefault="00861FC2" w:rsidP="00861FC2">
      <w:r w:rsidRPr="00861FC2">
        <w:rPr>
          <w:b/>
        </w:rPr>
        <w:t>Totalt</w:t>
      </w:r>
      <w:r w:rsidRPr="00861FC2">
        <w:t>: Grunnpris + (</w:t>
      </w:r>
      <w:r w:rsidRPr="00861FC2">
        <w:rPr>
          <w:i/>
        </w:rPr>
        <w:t>tilleggstimer</w:t>
      </w:r>
      <w:r w:rsidRPr="00861FC2">
        <w:t>) x (</w:t>
      </w:r>
      <w:r w:rsidRPr="00861FC2">
        <w:rPr>
          <w:i/>
        </w:rPr>
        <w:t>timepris</w:t>
      </w:r>
      <w:r w:rsidRPr="00861FC2">
        <w:t>)</w:t>
      </w:r>
      <w:r>
        <w:t xml:space="preserve"> =</w:t>
      </w:r>
      <w:r w:rsidRPr="00861FC2">
        <w:t xml:space="preserve"> (</w:t>
      </w:r>
      <w:r w:rsidRPr="00861FC2">
        <w:rPr>
          <w:i/>
        </w:rPr>
        <w:t>totalpris</w:t>
      </w:r>
      <w:r w:rsidRPr="00861FC2">
        <w:t>)</w:t>
      </w:r>
    </w:p>
    <w:p w14:paraId="64892923" w14:textId="0EB0C64B" w:rsidR="00152D6C" w:rsidRPr="0088131F" w:rsidRDefault="00861FC2" w:rsidP="00861FC2">
      <w:r w:rsidRPr="00861FC2">
        <w:t>Prisen er eks. mva.</w:t>
      </w:r>
    </w:p>
    <w:p w14:paraId="736D31ED" w14:textId="4A99C858" w:rsidR="00152D6C" w:rsidRDefault="00152D6C" w:rsidP="002D6852">
      <w:pPr>
        <w:pStyle w:val="Overskrift3"/>
        <w:rPr>
          <w:color w:val="000000" w:themeColor="text1"/>
          <w:sz w:val="22"/>
          <w:szCs w:val="22"/>
        </w:rPr>
      </w:pPr>
      <w:r w:rsidRPr="002D6852">
        <w:rPr>
          <w:rFonts w:asciiTheme="minorHAnsi" w:eastAsiaTheme="majorEastAsia" w:hAnsiTheme="minorHAnsi" w:cstheme="majorBidi"/>
          <w:b/>
          <w:color w:val="000000" w:themeColor="text1"/>
          <w:sz w:val="24"/>
          <w:szCs w:val="28"/>
        </w:rPr>
        <w:t xml:space="preserve">Fakturering: </w:t>
      </w:r>
      <w:r w:rsidR="00680B84" w:rsidRPr="0088131F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88131F">
        <w:rPr>
          <w:color w:val="000000" w:themeColor="text1"/>
          <w:sz w:val="22"/>
          <w:szCs w:val="22"/>
        </w:rPr>
        <w:t>Det avtalte beløp faktureres når sertifiseringen anses som fullført, senest tre måneder etter gjennomført sertifiseringsmøte.</w:t>
      </w:r>
    </w:p>
    <w:p w14:paraId="08A7BC27" w14:textId="77777777" w:rsidR="002D6852" w:rsidRPr="002D6852" w:rsidRDefault="002D6852" w:rsidP="002D6852"/>
    <w:p w14:paraId="3C731552" w14:textId="3F2147C9" w:rsidR="00152D6C" w:rsidRPr="002D6852" w:rsidRDefault="00152D6C" w:rsidP="00152D6C">
      <w:pPr>
        <w:rPr>
          <w:rFonts w:eastAsiaTheme="majorEastAsia" w:cstheme="majorBidi"/>
          <w:b/>
          <w:color w:val="000000" w:themeColor="text1"/>
          <w:szCs w:val="28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Virksomhetens ansvar:</w:t>
      </w:r>
    </w:p>
    <w:p w14:paraId="6C7E1EE4" w14:textId="6DF6116D" w:rsidR="00152D6C" w:rsidRPr="0088131F" w:rsidRDefault="002D6852" w:rsidP="00152D6C">
      <w:pPr>
        <w:pStyle w:val="Listeavsnitt"/>
        <w:numPr>
          <w:ilvl w:val="0"/>
          <w:numId w:val="13"/>
        </w:numPr>
        <w:rPr>
          <w:sz w:val="22"/>
        </w:rPr>
      </w:pPr>
      <w:proofErr w:type="spellStart"/>
      <w:r>
        <w:rPr>
          <w:sz w:val="22"/>
        </w:rPr>
        <w:t>S</w:t>
      </w:r>
      <w:r w:rsidR="00152D6C" w:rsidRPr="0088131F">
        <w:rPr>
          <w:sz w:val="22"/>
        </w:rPr>
        <w:t>ertifisør</w:t>
      </w:r>
      <w:proofErr w:type="spellEnd"/>
      <w:r w:rsidR="00152D6C" w:rsidRPr="0088131F">
        <w:rPr>
          <w:sz w:val="22"/>
        </w:rPr>
        <w:t xml:space="preserve"> gis tilgang til Miljøfyrtårnportalen minst en uke før sertifiseringsmøtet </w:t>
      </w:r>
    </w:p>
    <w:p w14:paraId="63F0C407" w14:textId="62D6D7D9" w:rsidR="00152D6C" w:rsidRPr="00861FC2" w:rsidRDefault="002D6852" w:rsidP="00152D6C">
      <w:pPr>
        <w:pStyle w:val="Listeavsnitt"/>
        <w:numPr>
          <w:ilvl w:val="0"/>
          <w:numId w:val="13"/>
        </w:numPr>
        <w:rPr>
          <w:rFonts w:eastAsiaTheme="majorEastAsia" w:cstheme="majorBidi"/>
          <w:b/>
          <w:color w:val="000000" w:themeColor="text1"/>
          <w:sz w:val="28"/>
          <w:szCs w:val="28"/>
        </w:rPr>
      </w:pPr>
      <w:proofErr w:type="spellStart"/>
      <w:r w:rsidRPr="00861FC2">
        <w:rPr>
          <w:sz w:val="22"/>
        </w:rPr>
        <w:t>S</w:t>
      </w:r>
      <w:r w:rsidR="00152D6C" w:rsidRPr="00861FC2">
        <w:rPr>
          <w:sz w:val="22"/>
        </w:rPr>
        <w:t>ertifisør</w:t>
      </w:r>
      <w:proofErr w:type="spellEnd"/>
      <w:r w:rsidR="00152D6C" w:rsidRPr="00861FC2">
        <w:rPr>
          <w:sz w:val="22"/>
        </w:rPr>
        <w:t xml:space="preserve"> uoppfordret får oversendt nødvendige opplysninger for å godkjenne lukking av avvik</w:t>
      </w:r>
    </w:p>
    <w:p w14:paraId="680F6616" w14:textId="746E8EBE" w:rsidR="00152D6C" w:rsidRPr="002D6852" w:rsidRDefault="00152D6C" w:rsidP="00152D6C">
      <w:pPr>
        <w:rPr>
          <w:rFonts w:eastAsiaTheme="majorEastAsia" w:cstheme="majorBidi"/>
          <w:b/>
          <w:color w:val="000000" w:themeColor="text1"/>
          <w:szCs w:val="28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Taushetsplikt</w:t>
      </w:r>
    </w:p>
    <w:p w14:paraId="506717FE" w14:textId="77658EDC" w:rsidR="00152D6C" w:rsidRDefault="00152D6C" w:rsidP="00152D6C">
      <w:pPr>
        <w:rPr>
          <w:rFonts w:asciiTheme="majorHAnsi" w:hAnsiTheme="majorHAnsi" w:cstheme="majorHAnsi"/>
        </w:rPr>
      </w:pPr>
      <w:r w:rsidRPr="0088131F">
        <w:rPr>
          <w:rFonts w:asciiTheme="majorHAnsi" w:hAnsiTheme="majorHAnsi" w:cstheme="majorHAnsi"/>
          <w:sz w:val="22"/>
        </w:rPr>
        <w:t>Fremkommer det opplysninger om virksomheten som ikke berører selve sertifiseringen, behandles disse konfidensielt</w:t>
      </w:r>
      <w:r w:rsidRPr="0088131F">
        <w:rPr>
          <w:rFonts w:asciiTheme="majorHAnsi" w:hAnsiTheme="majorHAnsi" w:cstheme="majorHAnsi"/>
        </w:rPr>
        <w:t>.</w:t>
      </w:r>
    </w:p>
    <w:p w14:paraId="0E269027" w14:textId="67237DF1" w:rsidR="0088131F" w:rsidRDefault="0088131F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Vi ser frem til deres tilbakemelding.</w:t>
      </w:r>
    </w:p>
    <w:p w14:paraId="57A365C9" w14:textId="77777777" w:rsidR="00861FC2" w:rsidRPr="0088131F" w:rsidRDefault="00861FC2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  <w:bookmarkStart w:id="0" w:name="_GoBack"/>
      <w:bookmarkEnd w:id="0"/>
    </w:p>
    <w:p w14:paraId="51D5451A" w14:textId="7DC8E376" w:rsidR="0088131F" w:rsidRPr="0088131F" w:rsidRDefault="0088131F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</w:p>
    <w:p w14:paraId="1ECB3116" w14:textId="7E149066" w:rsidR="0088131F" w:rsidRPr="0088131F" w:rsidRDefault="0088131F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Med vennlig hilsen</w:t>
      </w:r>
    </w:p>
    <w:p w14:paraId="71865B7A" w14:textId="4A703BE0" w:rsidR="0088131F" w:rsidRDefault="0088131F" w:rsidP="00152D6C">
      <w:pPr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</w:pPr>
    </w:p>
    <w:p w14:paraId="4EB5D139" w14:textId="61BFCB66" w:rsidR="0088131F" w:rsidRDefault="0088131F" w:rsidP="00152D6C">
      <w:pPr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</w:pPr>
    </w:p>
    <w:p w14:paraId="15BEDA2E" w14:textId="7CED3DB2" w:rsidR="0088131F" w:rsidRPr="0088131F" w:rsidRDefault="0088131F" w:rsidP="00152D6C">
      <w:pPr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(Sted, dato)</w:t>
      </w:r>
    </w:p>
    <w:sectPr w:rsidR="0088131F" w:rsidRPr="0088131F" w:rsidSect="00834847">
      <w:headerReference w:type="default" r:id="rId8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CA0C3" w14:textId="77777777" w:rsidR="00F90804" w:rsidRDefault="00F90804" w:rsidP="00F964D0">
      <w:r>
        <w:separator/>
      </w:r>
    </w:p>
  </w:endnote>
  <w:endnote w:type="continuationSeparator" w:id="0">
    <w:p w14:paraId="229B9179" w14:textId="77777777" w:rsidR="00F90804" w:rsidRDefault="00F90804" w:rsidP="00F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D5E43" w14:textId="77777777" w:rsidR="00F90804" w:rsidRDefault="00F90804" w:rsidP="00F964D0">
      <w:r>
        <w:separator/>
      </w:r>
    </w:p>
  </w:footnote>
  <w:footnote w:type="continuationSeparator" w:id="0">
    <w:p w14:paraId="1D1443A5" w14:textId="77777777" w:rsidR="00F90804" w:rsidRDefault="00F90804" w:rsidP="00F9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2280" w14:textId="6A9698C2" w:rsidR="00C03CE6" w:rsidRDefault="00C03C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640EA5BB" wp14:editId="38CF5F3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9040" cy="1578610"/>
          <wp:effectExtent l="0" t="0" r="3810" b="2540"/>
          <wp:wrapThrough wrapText="bothSides">
            <wp:wrapPolygon edited="0">
              <wp:start x="0" y="0"/>
              <wp:lineTo x="0" y="21374"/>
              <wp:lineTo x="21556" y="21374"/>
              <wp:lineTo x="21556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E139C" w14:textId="089F83F9" w:rsidR="00F964D0" w:rsidRDefault="00F964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0A5"/>
    <w:multiLevelType w:val="hybridMultilevel"/>
    <w:tmpl w:val="01CC3A8E"/>
    <w:lvl w:ilvl="0" w:tplc="92B6F5E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0DFB"/>
    <w:multiLevelType w:val="hybridMultilevel"/>
    <w:tmpl w:val="B64C12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83D97"/>
    <w:multiLevelType w:val="hybridMultilevel"/>
    <w:tmpl w:val="FE022F32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F434DD3"/>
    <w:multiLevelType w:val="hybridMultilevel"/>
    <w:tmpl w:val="9C96B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3257"/>
    <w:multiLevelType w:val="hybridMultilevel"/>
    <w:tmpl w:val="11787E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6C0"/>
    <w:multiLevelType w:val="hybridMultilevel"/>
    <w:tmpl w:val="2F7C053C"/>
    <w:lvl w:ilvl="0" w:tplc="E892A84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25855"/>
    <w:multiLevelType w:val="hybridMultilevel"/>
    <w:tmpl w:val="15EA35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32BF4"/>
    <w:multiLevelType w:val="hybridMultilevel"/>
    <w:tmpl w:val="F0A2375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11577"/>
    <w:multiLevelType w:val="hybridMultilevel"/>
    <w:tmpl w:val="32A677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8304E"/>
    <w:multiLevelType w:val="hybridMultilevel"/>
    <w:tmpl w:val="C756C8C2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C80"/>
    <w:multiLevelType w:val="hybridMultilevel"/>
    <w:tmpl w:val="FEE069FE"/>
    <w:lvl w:ilvl="0" w:tplc="05BA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0070"/>
    <w:multiLevelType w:val="hybridMultilevel"/>
    <w:tmpl w:val="ECDA2C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D4057"/>
    <w:multiLevelType w:val="hybridMultilevel"/>
    <w:tmpl w:val="46ACCA5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D0"/>
    <w:rsid w:val="00023BBA"/>
    <w:rsid w:val="000315B9"/>
    <w:rsid w:val="00050E6D"/>
    <w:rsid w:val="00056E2A"/>
    <w:rsid w:val="00057B49"/>
    <w:rsid w:val="000A221C"/>
    <w:rsid w:val="000D2464"/>
    <w:rsid w:val="000D73D8"/>
    <w:rsid w:val="00104AEF"/>
    <w:rsid w:val="00145AF9"/>
    <w:rsid w:val="001478A2"/>
    <w:rsid w:val="0015026D"/>
    <w:rsid w:val="00152D6C"/>
    <w:rsid w:val="0015407B"/>
    <w:rsid w:val="001C42F0"/>
    <w:rsid w:val="002D1433"/>
    <w:rsid w:val="002D6852"/>
    <w:rsid w:val="003569EE"/>
    <w:rsid w:val="003C4B74"/>
    <w:rsid w:val="003D7866"/>
    <w:rsid w:val="00404309"/>
    <w:rsid w:val="004B40FA"/>
    <w:rsid w:val="005974EB"/>
    <w:rsid w:val="005A4C5E"/>
    <w:rsid w:val="005E72DA"/>
    <w:rsid w:val="005F3029"/>
    <w:rsid w:val="00615F16"/>
    <w:rsid w:val="00646863"/>
    <w:rsid w:val="00677502"/>
    <w:rsid w:val="00680B84"/>
    <w:rsid w:val="007339D4"/>
    <w:rsid w:val="00750829"/>
    <w:rsid w:val="00752BF6"/>
    <w:rsid w:val="007C3FEB"/>
    <w:rsid w:val="007E2937"/>
    <w:rsid w:val="00822AC1"/>
    <w:rsid w:val="00834847"/>
    <w:rsid w:val="00861FC2"/>
    <w:rsid w:val="0088131F"/>
    <w:rsid w:val="0088370A"/>
    <w:rsid w:val="00893CA3"/>
    <w:rsid w:val="008F4CCD"/>
    <w:rsid w:val="00927086"/>
    <w:rsid w:val="009F3C94"/>
    <w:rsid w:val="00A7518F"/>
    <w:rsid w:val="00A87EC6"/>
    <w:rsid w:val="00BE2556"/>
    <w:rsid w:val="00C03CE6"/>
    <w:rsid w:val="00C12D03"/>
    <w:rsid w:val="00D253F1"/>
    <w:rsid w:val="00D9194D"/>
    <w:rsid w:val="00E7040A"/>
    <w:rsid w:val="00EE726A"/>
    <w:rsid w:val="00F43205"/>
    <w:rsid w:val="00F90804"/>
    <w:rsid w:val="00F964D0"/>
    <w:rsid w:val="00F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5C7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2BF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51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53F1"/>
    <w:pPr>
      <w:spacing w:before="240" w:after="120" w:line="259" w:lineRule="auto"/>
      <w:outlineLvl w:val="2"/>
    </w:pPr>
    <w:rPr>
      <w:rFonts w:asciiTheme="majorHAnsi" w:hAnsiTheme="majorHAnsi" w:cstheme="majorHAnsi"/>
      <w:sz w:val="40"/>
      <w:szCs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64D0"/>
  </w:style>
  <w:style w:type="paragraph" w:styleId="Bunntekst">
    <w:name w:val="footer"/>
    <w:basedOn w:val="Normal"/>
    <w:link w:val="Bunn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64D0"/>
  </w:style>
  <w:style w:type="table" w:styleId="Tabellrutenett">
    <w:name w:val="Table Grid"/>
    <w:basedOn w:val="Vanligtabell"/>
    <w:uiPriority w:val="39"/>
    <w:rsid w:val="00D253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D253F1"/>
    <w:rPr>
      <w:rFonts w:asciiTheme="majorHAnsi" w:hAnsiTheme="majorHAnsi" w:cstheme="majorHAnsi"/>
      <w:sz w:val="40"/>
      <w:szCs w:val="40"/>
    </w:rPr>
  </w:style>
  <w:style w:type="paragraph" w:styleId="Listeavsnitt">
    <w:name w:val="List Paragraph"/>
    <w:basedOn w:val="Normal"/>
    <w:uiPriority w:val="34"/>
    <w:qFormat/>
    <w:rsid w:val="00D253F1"/>
    <w:pPr>
      <w:spacing w:after="160" w:line="259" w:lineRule="auto"/>
      <w:ind w:left="720"/>
      <w:contextualSpacing/>
    </w:pPr>
    <w:rPr>
      <w:rFonts w:asciiTheme="majorHAnsi" w:hAnsiTheme="majorHAnsi" w:cstheme="majorHAnsi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5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rsid w:val="00E7040A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704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040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unhideWhenUsed/>
    <w:rsid w:val="00E7040A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050E6D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5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5D43E1-D7DE-4F90-8682-0B1A7BD5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1146</Characters>
  <Application>Microsoft Office Word</Application>
  <DocSecurity>4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Bakgrunn </vt:lpstr>
      <vt:lpstr>Partenes plikter</vt:lpstr>
      <vt:lpstr>Etablering, fakturering og betalingsprinsipper</vt:lpstr>
      <vt:lpstr>Konsernopplysninger og Prisavtale</vt:lpstr>
      <vt:lpstr>        Organisasjonen/{name}: Navn hovedkontor: {name}	 Organisasjonsnummer: {orgn} Mil</vt:lpstr>
      <vt:lpstr>        </vt:lpstr>
      <vt:lpstr>        Fakturering: Det sendes en felles faktura til:</vt:lpstr>
      <vt:lpstr>        Etableringskostnader: Etableringskostnad hovedkontor: 			Kr fyll inn Etablerings</vt:lpstr>
      <vt:lpstr>        Årlig serviceavgift</vt:lpstr>
      <vt:lpstr>Varighet og oppsigelse</vt:lpstr>
      <vt:lpstr>Konfidensialitet og informasjonssikkerhet</vt:lpstr>
      <vt:lpstr>Særforhold </vt:lpstr>
      <vt:lpstr>Tvist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Myklebust</dc:creator>
  <cp:keywords/>
  <dc:description/>
  <cp:lastModifiedBy>Anna Despard Asgard</cp:lastModifiedBy>
  <cp:revision>2</cp:revision>
  <dcterms:created xsi:type="dcterms:W3CDTF">2019-08-01T08:11:00Z</dcterms:created>
  <dcterms:modified xsi:type="dcterms:W3CDTF">2019-08-01T08:11:00Z</dcterms:modified>
</cp:coreProperties>
</file>